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OLE_LINK5"/>
      <w:bookmarkStart w:id="1" w:name="OLE_LINK6"/>
      <w:r>
        <w:rPr>
          <w:rFonts w:ascii="Arial" w:hAnsi="Arial" w:cs="Arial"/>
          <w:b/>
          <w:sz w:val="24"/>
          <w:szCs w:val="24"/>
        </w:rPr>
        <w:t>3GPP TSG-RAN WG4 Meeting #101-bis-e</w:t>
      </w:r>
      <w:r>
        <w:rPr>
          <w:rFonts w:ascii="Arial" w:hAnsi="Arial" w:cs="Arial"/>
          <w:b/>
          <w:sz w:val="24"/>
          <w:szCs w:val="24"/>
        </w:rPr>
        <w:tab/>
      </w:r>
      <w:r>
        <w:rPr>
          <w:rFonts w:hint="eastAsia" w:ascii="Arial" w:hAnsi="Arial" w:cs="Arial"/>
          <w:b/>
          <w:color w:val="000000"/>
          <w:sz w:val="24"/>
          <w:szCs w:val="24"/>
        </w:rPr>
        <w:t>R4-2201409</w:t>
      </w:r>
      <w:bookmarkStart w:id="2" w:name="_GoBack"/>
      <w:bookmarkEnd w:id="2"/>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Online Meeting, </w:t>
      </w:r>
      <w:r>
        <w:rPr>
          <w:rFonts w:ascii="Arial" w:hAnsi="Arial" w:cs="Arial"/>
          <w:b/>
          <w:bCs/>
          <w:sz w:val="24"/>
          <w:szCs w:val="24"/>
        </w:rPr>
        <w:t>17 January – 25 January 2022</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Active BWP switching delay requirements for NR systems extended to 71 GHz</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6.16.7.4</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pStyle w:val="36"/>
        <w:numPr>
          <w:ilvl w:val="0"/>
          <w:numId w:val="0"/>
        </w:numPr>
        <w:ind w:leftChars="0"/>
        <w:rPr>
          <w:rFonts w:hint="default"/>
          <w:b w:val="0"/>
          <w:bCs/>
          <w:sz w:val="22"/>
          <w:szCs w:val="22"/>
          <w:lang w:val="en-US" w:eastAsia="zh-CN"/>
        </w:rPr>
      </w:pPr>
      <w:r>
        <w:rPr>
          <w:rFonts w:hint="eastAsia" w:eastAsia="宋体"/>
          <w:b w:val="0"/>
          <w:bCs/>
          <w:sz w:val="22"/>
          <w:szCs w:val="22"/>
          <w:lang w:val="en-US" w:eastAsia="zh-CN"/>
        </w:rPr>
        <w:t>In RAN4 101-e, some</w:t>
      </w:r>
      <w:r>
        <w:rPr>
          <w:rFonts w:hint="eastAsia"/>
          <w:b w:val="0"/>
          <w:bCs/>
          <w:sz w:val="22"/>
          <w:szCs w:val="22"/>
          <w:lang w:val="en-US" w:eastAsia="zh-CN"/>
        </w:rPr>
        <w:t xml:space="preserve"> preliminary discussions on BWP switching delay for NR extended to 71 GHz are triggered. Some of the agreements are copied from the WF [1] and pasted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6"/>
              <w:numPr>
                <w:ilvl w:val="0"/>
                <w:numId w:val="6"/>
              </w:numPr>
              <w:spacing w:line="480" w:lineRule="auto"/>
            </w:pPr>
            <w:r>
              <w:t>Cross-carrier active BWP switching</w:t>
            </w:r>
          </w:p>
          <w:p>
            <w:pPr>
              <w:pStyle w:val="26"/>
              <w:numPr>
                <w:ilvl w:val="1"/>
                <w:numId w:val="6"/>
              </w:numPr>
              <w:spacing w:after="240"/>
              <w:ind w:left="1434" w:hanging="357"/>
              <w:contextualSpacing w:val="0"/>
            </w:pPr>
            <w:r>
              <w:t>MRTD value should be considered for BWP switching delay definition in cross-carrier scheduling case.</w:t>
            </w:r>
          </w:p>
          <w:p>
            <w:pPr>
              <w:pStyle w:val="26"/>
              <w:numPr>
                <w:ilvl w:val="1"/>
                <w:numId w:val="6"/>
              </w:numPr>
              <w:spacing w:after="240"/>
              <w:ind w:left="1434" w:hanging="357"/>
              <w:contextualSpacing w:val="0"/>
            </w:pPr>
            <w:r>
              <w:t>RAN4 to further discuss how to define requirements for cross-carrier BWP switching considering the following questions:</w:t>
            </w:r>
          </w:p>
          <w:p>
            <w:pPr>
              <w:pStyle w:val="26"/>
              <w:numPr>
                <w:ilvl w:val="2"/>
                <w:numId w:val="6"/>
              </w:numPr>
              <w:spacing w:after="0"/>
              <w:contextualSpacing w:val="0"/>
            </w:pPr>
            <w:r>
              <w:t>How to account MRTD in cross-carrier BWP switching delay:</w:t>
            </w:r>
          </w:p>
          <w:p>
            <w:pPr>
              <w:pStyle w:val="26"/>
              <w:numPr>
                <w:ilvl w:val="3"/>
                <w:numId w:val="6"/>
              </w:numPr>
              <w:spacing w:before="0" w:after="0"/>
              <w:contextualSpacing w:val="0"/>
            </w:pPr>
            <w:r>
              <w:t>Option 1: Several slots according to the MRTD length</w:t>
            </w:r>
          </w:p>
          <w:p>
            <w:pPr>
              <w:pStyle w:val="26"/>
              <w:numPr>
                <w:ilvl w:val="3"/>
                <w:numId w:val="6"/>
              </w:numPr>
              <w:spacing w:before="0" w:after="0"/>
              <w:contextualSpacing w:val="0"/>
            </w:pPr>
            <w:r>
              <w:t>Option 2: 1 slot to reserve misalignment in case of asynchronous between two carriers</w:t>
            </w:r>
          </w:p>
          <w:p>
            <w:pPr>
              <w:pStyle w:val="26"/>
              <w:numPr>
                <w:ilvl w:val="3"/>
                <w:numId w:val="6"/>
              </w:numPr>
              <w:spacing w:before="0"/>
              <w:contextualSpacing w:val="0"/>
            </w:pPr>
            <w:r>
              <w:t>Other options are not precluded</w:t>
            </w:r>
          </w:p>
          <w:p>
            <w:pPr>
              <w:pStyle w:val="26"/>
              <w:numPr>
                <w:ilvl w:val="2"/>
                <w:numId w:val="6"/>
              </w:numPr>
              <w:spacing w:after="240"/>
            </w:pPr>
            <w:r>
              <w:t>How to consider additional margin for cross-carrier scheduling</w:t>
            </w:r>
          </w:p>
          <w:p>
            <w:pPr>
              <w:pStyle w:val="26"/>
              <w:numPr>
                <w:ilvl w:val="3"/>
                <w:numId w:val="6"/>
              </w:numPr>
            </w:pPr>
            <w:r>
              <w:t>Option 1: Any option of previous question covers the margin as ceiling to the integer number provides additional time for cross-carrier processing</w:t>
            </w:r>
          </w:p>
          <w:p>
            <w:pPr>
              <w:pStyle w:val="26"/>
              <w:numPr>
                <w:ilvl w:val="3"/>
                <w:numId w:val="6"/>
              </w:numPr>
            </w:pPr>
            <w:r>
              <w:t>Option 2: 1 slot of 120 kHz when both scheduling carrier and scheduled carrier are in FR2-2 (aligned with Option 2 of the previous question)</w:t>
            </w:r>
          </w:p>
          <w:p>
            <w:pPr>
              <w:pStyle w:val="26"/>
              <w:numPr>
                <w:ilvl w:val="3"/>
                <w:numId w:val="6"/>
              </w:numPr>
              <w:spacing w:before="0"/>
              <w:contextualSpacing w:val="0"/>
            </w:pPr>
            <w:r>
              <w:t>Other options are not precluded</w:t>
            </w:r>
          </w:p>
          <w:p>
            <w:pPr>
              <w:pStyle w:val="26"/>
              <w:numPr>
                <w:ilvl w:val="2"/>
                <w:numId w:val="6"/>
              </w:numPr>
              <w:spacing w:after="240"/>
            </w:pPr>
            <w:r>
              <w:t>How to consider different SCS between scheduling cell and scheduled cell for cross-carrier BWP switching delay:</w:t>
            </w:r>
          </w:p>
          <w:p>
            <w:pPr>
              <w:pStyle w:val="26"/>
              <w:numPr>
                <w:ilvl w:val="3"/>
                <w:numId w:val="6"/>
              </w:numPr>
              <w:spacing w:before="0" w:after="0"/>
              <w:contextualSpacing w:val="0"/>
            </w:pPr>
            <w:r>
              <w:t>Option 1: the delay requirements to be defined considering the SCS of scheduled cell</w:t>
            </w:r>
          </w:p>
          <w:p>
            <w:pPr>
              <w:pStyle w:val="26"/>
              <w:numPr>
                <w:ilvl w:val="3"/>
                <w:numId w:val="6"/>
              </w:numPr>
              <w:spacing w:before="0"/>
              <w:contextualSpacing w:val="0"/>
              <w:rPr>
                <w:rFonts w:hint="eastAsia"/>
                <w:vertAlign w:val="baseline"/>
                <w:lang w:val="en-US" w:eastAsia="zh-CN"/>
              </w:rPr>
            </w:pPr>
            <w:r>
              <w:t>Option 2: keep current assumption which says “T</w:t>
            </w:r>
            <w:r>
              <w:rPr>
                <w:vertAlign w:val="subscript"/>
              </w:rPr>
              <w:t>BWPswitchDelay</w:t>
            </w:r>
            <w:r>
              <w:t xml:space="preserve"> + Y shall follow the smaller SCS of scheduling cell, scheduled cells before and scheduled cells after active BWP change”</w:t>
            </w:r>
          </w:p>
        </w:tc>
      </w:tr>
    </w:tbl>
    <w:p>
      <w:pPr>
        <w:rPr>
          <w:rFonts w:hint="default"/>
          <w:lang w:val="en-US" w:eastAsia="zh-CN"/>
        </w:rPr>
      </w:pPr>
      <w:r>
        <w:rPr>
          <w:rFonts w:hint="eastAsia"/>
          <w:b w:val="0"/>
          <w:bCs/>
          <w:sz w:val="22"/>
          <w:szCs w:val="22"/>
          <w:lang w:val="en-US" w:eastAsia="zh-CN"/>
        </w:rPr>
        <w:t>In this paper, we provide some of our thinking on how to specify requirements when SCS between scheduling cell and scheduled cell is different.</w:t>
      </w:r>
    </w:p>
    <w:p>
      <w:pPr>
        <w:pStyle w:val="28"/>
        <w:jc w:val="both"/>
        <w:rPr>
          <w:rFonts w:hint="default" w:eastAsia="宋体"/>
          <w:lang w:val="en-US" w:eastAsia="zh-CN"/>
        </w:rPr>
      </w:pPr>
      <w:r>
        <w:t>2</w:t>
      </w:r>
      <w:r>
        <w:tab/>
      </w:r>
      <w:r>
        <w:rPr>
          <w:rFonts w:hint="eastAsia"/>
          <w:lang w:val="en-US" w:eastAsia="zh-CN"/>
        </w:rPr>
        <w:t>Discussions</w:t>
      </w:r>
    </w:p>
    <w:p>
      <w:pPr>
        <w:rPr>
          <w:rFonts w:hint="eastAsia" w:eastAsia="宋体"/>
          <w:sz w:val="22"/>
          <w:szCs w:val="22"/>
          <w:lang w:val="en-US" w:eastAsia="zh-CN"/>
        </w:rPr>
      </w:pPr>
      <w:r>
        <w:rPr>
          <w:rFonts w:hint="eastAsia" w:eastAsia="宋体"/>
          <w:sz w:val="22"/>
          <w:szCs w:val="22"/>
          <w:lang w:val="en-US" w:eastAsia="zh-CN"/>
        </w:rPr>
        <w:t>How to consider different SCS between scheduling cell and scheduled cell for cross-carrier BWP switching delay was one of the hot issues discussed during the last meeting. Our view is that the current design already considers different numerologies, and in theory even after introducing some larger SCS compared to legacy cases, we don</w:t>
      </w:r>
      <w:r>
        <w:rPr>
          <w:rFonts w:hint="default" w:eastAsia="宋体"/>
          <w:sz w:val="22"/>
          <w:szCs w:val="22"/>
          <w:lang w:val="en-US" w:eastAsia="zh-CN"/>
        </w:rPr>
        <w:t>’</w:t>
      </w:r>
      <w:r>
        <w:rPr>
          <w:rFonts w:hint="eastAsia" w:eastAsia="宋体"/>
          <w:sz w:val="22"/>
          <w:szCs w:val="22"/>
          <w:lang w:val="en-US" w:eastAsia="zh-CN"/>
        </w:rPr>
        <w:t>t see why this principle needs to be changed. As pointed out by some companies, the margin derived by the smaller SCS might not be enough, then a clarification can be added to the spec. However, the principle of using the smaller SCS shall be kept and we don</w:t>
      </w:r>
      <w:r>
        <w:rPr>
          <w:rFonts w:hint="default" w:eastAsia="宋体"/>
          <w:sz w:val="22"/>
          <w:szCs w:val="22"/>
          <w:lang w:val="en-US" w:eastAsia="zh-CN"/>
        </w:rPr>
        <w:t>’</w:t>
      </w:r>
      <w:r>
        <w:rPr>
          <w:rFonts w:hint="eastAsia" w:eastAsia="宋体"/>
          <w:sz w:val="22"/>
          <w:szCs w:val="22"/>
          <w:lang w:val="en-US" w:eastAsia="zh-CN"/>
        </w:rPr>
        <w:t>t see strong reason to define a new principle.</w:t>
      </w:r>
    </w:p>
    <w:p>
      <w:pPr>
        <w:rPr>
          <w:rFonts w:hint="default" w:eastAsia="宋体"/>
          <w:sz w:val="22"/>
          <w:szCs w:val="22"/>
          <w:lang w:val="en-US" w:eastAsia="zh-CN"/>
        </w:rPr>
      </w:pPr>
      <w:r>
        <w:rPr>
          <w:rFonts w:hint="eastAsia" w:eastAsia="宋体"/>
          <w:sz w:val="22"/>
          <w:szCs w:val="22"/>
          <w:lang w:val="en-US" w:eastAsia="zh-CN"/>
        </w:rPr>
        <w:t>Having a new principle other than the one already defined in the spec [2] might cause new problems if the applicability rule is not clear. Thus, we prefer to stick to the principle we have for current BWP switching.</w:t>
      </w:r>
    </w:p>
    <w:p>
      <w:pPr>
        <w:pStyle w:val="36"/>
        <w:rPr>
          <w:rFonts w:hint="eastAsia"/>
          <w:lang w:val="en-US" w:eastAsia="zh-CN"/>
        </w:rPr>
      </w:pPr>
      <w:r>
        <w:rPr>
          <w:rFonts w:hint="eastAsia" w:eastAsia="宋体"/>
          <w:lang w:val="en-US" w:eastAsia="zh-CN"/>
        </w:rPr>
        <w:t>K</w:t>
      </w:r>
      <w:r>
        <w:t>eep current assumption which says “T</w:t>
      </w:r>
      <w:r>
        <w:rPr>
          <w:vertAlign w:val="subscript"/>
        </w:rPr>
        <w:t>BWPswitchDelay</w:t>
      </w:r>
      <w:r>
        <w:t xml:space="preserve"> + Y shall follow the smaller SCS of scheduling cell, scheduled cells before and scheduled cells after active BWP change”</w:t>
      </w:r>
      <w:r>
        <w:rPr>
          <w:rFonts w:hint="eastAsia" w:eastAsia="宋体"/>
          <w:lang w:val="en-US" w:eastAsia="zh-CN"/>
        </w:rPr>
        <w:t>.</w:t>
      </w:r>
    </w:p>
    <w:p>
      <w:pPr>
        <w:pStyle w:val="28"/>
        <w:jc w:val="both"/>
      </w:pPr>
      <w:r>
        <w:rPr>
          <w:rFonts w:hint="eastAsia"/>
          <w:lang w:val="en-US" w:eastAsia="zh-CN"/>
        </w:rPr>
        <w:t>3</w:t>
      </w:r>
      <w:r>
        <w:tab/>
      </w:r>
      <w:r>
        <w:t>Conclusion</w:t>
      </w:r>
    </w:p>
    <w:p>
      <w:pPr>
        <w:pStyle w:val="36"/>
        <w:numPr>
          <w:ilvl w:val="0"/>
          <w:numId w:val="0"/>
        </w:numPr>
        <w:ind w:leftChars="0"/>
        <w:rPr>
          <w:rFonts w:hint="eastAsia" w:eastAsia="宋体"/>
          <w:b/>
          <w:bCs w:val="0"/>
          <w:sz w:val="22"/>
          <w:szCs w:val="22"/>
          <w:lang w:val="en-US" w:eastAsia="zh-CN"/>
        </w:rPr>
      </w:pPr>
      <w:r>
        <w:rPr>
          <w:rFonts w:hint="eastAsia"/>
          <w:b/>
          <w:bCs w:val="0"/>
          <w:sz w:val="22"/>
          <w:szCs w:val="22"/>
          <w:lang w:val="en-US" w:eastAsia="zh-CN"/>
        </w:rPr>
        <w:t xml:space="preserve">Proposal 1: </w:t>
      </w:r>
      <w:r>
        <w:rPr>
          <w:rFonts w:hint="eastAsia" w:eastAsia="宋体"/>
          <w:lang w:val="en-US" w:eastAsia="zh-CN"/>
        </w:rPr>
        <w:t>K</w:t>
      </w:r>
      <w:r>
        <w:t>eep current assumption which says “T</w:t>
      </w:r>
      <w:r>
        <w:rPr>
          <w:vertAlign w:val="subscript"/>
        </w:rPr>
        <w:t>BWPswitchDelay</w:t>
      </w:r>
      <w:r>
        <w:t xml:space="preserve"> + Y shall follow the smaller SCS of scheduling cell, scheduled cells before and scheduled cells after active BWP change”</w:t>
      </w:r>
      <w:r>
        <w:rPr>
          <w:rFonts w:hint="eastAsia" w:eastAsia="宋体"/>
          <w:lang w:val="en-US" w:eastAsia="zh-CN"/>
        </w:rPr>
        <w:t>.</w:t>
      </w:r>
    </w:p>
    <w:p>
      <w:pPr>
        <w:pStyle w:val="28"/>
        <w:jc w:val="both"/>
      </w:pPr>
      <w:r>
        <w:t>References</w:t>
      </w:r>
    </w:p>
    <w:p>
      <w:pPr>
        <w:numPr>
          <w:ilvl w:val="0"/>
          <w:numId w:val="7"/>
        </w:numPr>
        <w:overflowPunct w:val="0"/>
        <w:autoSpaceDE w:val="0"/>
        <w:autoSpaceDN w:val="0"/>
        <w:adjustRightInd w:val="0"/>
        <w:spacing w:after="120" w:line="240" w:lineRule="auto"/>
        <w:jc w:val="both"/>
        <w:textAlignment w:val="baseline"/>
        <w:rPr>
          <w:rFonts w:hint="default" w:eastAsia="宋体"/>
          <w:sz w:val="22"/>
          <w:szCs w:val="22"/>
          <w:lang w:val="en-US" w:eastAsia="zh-CN"/>
        </w:rPr>
      </w:pPr>
      <w:r>
        <w:rPr>
          <w:rFonts w:hint="eastAsia" w:eastAsia="宋体"/>
          <w:sz w:val="22"/>
          <w:szCs w:val="22"/>
          <w:lang w:val="en-US" w:eastAsia="zh-CN"/>
        </w:rPr>
        <w:t>R4-2120317</w:t>
      </w:r>
    </w:p>
    <w:p>
      <w:pPr>
        <w:numPr>
          <w:ilvl w:val="0"/>
          <w:numId w:val="7"/>
        </w:numPr>
        <w:overflowPunct w:val="0"/>
        <w:autoSpaceDE w:val="0"/>
        <w:autoSpaceDN w:val="0"/>
        <w:adjustRightInd w:val="0"/>
        <w:spacing w:after="120" w:line="240" w:lineRule="auto"/>
        <w:jc w:val="both"/>
        <w:textAlignment w:val="baseline"/>
        <w:rPr>
          <w:rFonts w:hint="default" w:eastAsia="宋体"/>
          <w:sz w:val="22"/>
          <w:szCs w:val="22"/>
          <w:lang w:val="en-US" w:eastAsia="zh-CN"/>
        </w:rPr>
      </w:pPr>
      <w:r>
        <w:rPr>
          <w:rFonts w:hint="eastAsia" w:eastAsia="宋体"/>
          <w:sz w:val="22"/>
          <w:szCs w:val="22"/>
          <w:lang w:val="en-US" w:eastAsia="zh-CN"/>
        </w:rPr>
        <w:t>TS 38.133, v 17.3.0</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6118258D"/>
    <w:multiLevelType w:val="multilevel"/>
    <w:tmpl w:val="6118258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D1E31"/>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867938"/>
    <w:rsid w:val="02B274E2"/>
    <w:rsid w:val="02BD7990"/>
    <w:rsid w:val="02C25D33"/>
    <w:rsid w:val="02D477EA"/>
    <w:rsid w:val="030809EC"/>
    <w:rsid w:val="037A379D"/>
    <w:rsid w:val="039A1BDA"/>
    <w:rsid w:val="03AE4991"/>
    <w:rsid w:val="03C6506D"/>
    <w:rsid w:val="03F37217"/>
    <w:rsid w:val="046B1F2F"/>
    <w:rsid w:val="04C77D0A"/>
    <w:rsid w:val="04D5204C"/>
    <w:rsid w:val="051F0641"/>
    <w:rsid w:val="059B61E4"/>
    <w:rsid w:val="05A86143"/>
    <w:rsid w:val="05D42FA6"/>
    <w:rsid w:val="06105DAC"/>
    <w:rsid w:val="065133C1"/>
    <w:rsid w:val="066957D5"/>
    <w:rsid w:val="068A29F7"/>
    <w:rsid w:val="069766CC"/>
    <w:rsid w:val="07432934"/>
    <w:rsid w:val="07502CA2"/>
    <w:rsid w:val="078B76F8"/>
    <w:rsid w:val="07962A3C"/>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A1653"/>
    <w:rsid w:val="0C3C5307"/>
    <w:rsid w:val="0C3E160C"/>
    <w:rsid w:val="0C56263C"/>
    <w:rsid w:val="0C5E2B8A"/>
    <w:rsid w:val="0D102274"/>
    <w:rsid w:val="0D7C260E"/>
    <w:rsid w:val="0DA958CA"/>
    <w:rsid w:val="0DF104D3"/>
    <w:rsid w:val="0E1C586B"/>
    <w:rsid w:val="0E2D1B5C"/>
    <w:rsid w:val="0E8A024B"/>
    <w:rsid w:val="0ED138E6"/>
    <w:rsid w:val="0F130B06"/>
    <w:rsid w:val="0F67780F"/>
    <w:rsid w:val="0F8F3C2A"/>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204013C"/>
    <w:rsid w:val="122017FC"/>
    <w:rsid w:val="12753179"/>
    <w:rsid w:val="128409CA"/>
    <w:rsid w:val="12BB3A94"/>
    <w:rsid w:val="12EF585C"/>
    <w:rsid w:val="13262572"/>
    <w:rsid w:val="136D11EC"/>
    <w:rsid w:val="137D50D6"/>
    <w:rsid w:val="139B3B65"/>
    <w:rsid w:val="13A62830"/>
    <w:rsid w:val="13D36053"/>
    <w:rsid w:val="13ED648B"/>
    <w:rsid w:val="13F75352"/>
    <w:rsid w:val="141E7377"/>
    <w:rsid w:val="14220722"/>
    <w:rsid w:val="14631685"/>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4C276D"/>
    <w:rsid w:val="1872258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1D2A9E"/>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2F30C34"/>
    <w:rsid w:val="231C53C0"/>
    <w:rsid w:val="23514077"/>
    <w:rsid w:val="23855295"/>
    <w:rsid w:val="23B20773"/>
    <w:rsid w:val="23CF6D67"/>
    <w:rsid w:val="23D517A2"/>
    <w:rsid w:val="23FF1EED"/>
    <w:rsid w:val="248F188B"/>
    <w:rsid w:val="24BD0518"/>
    <w:rsid w:val="24E91488"/>
    <w:rsid w:val="25077EC5"/>
    <w:rsid w:val="256A021C"/>
    <w:rsid w:val="25962669"/>
    <w:rsid w:val="259B6819"/>
    <w:rsid w:val="25C20278"/>
    <w:rsid w:val="25C545AD"/>
    <w:rsid w:val="262D62D9"/>
    <w:rsid w:val="26681CAB"/>
    <w:rsid w:val="267E5FCE"/>
    <w:rsid w:val="27572E0B"/>
    <w:rsid w:val="2762235C"/>
    <w:rsid w:val="276537E8"/>
    <w:rsid w:val="27A34066"/>
    <w:rsid w:val="280C272A"/>
    <w:rsid w:val="281B6C69"/>
    <w:rsid w:val="284E33F7"/>
    <w:rsid w:val="287A3770"/>
    <w:rsid w:val="28C759BF"/>
    <w:rsid w:val="290A138C"/>
    <w:rsid w:val="29116F17"/>
    <w:rsid w:val="293606FA"/>
    <w:rsid w:val="29517179"/>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451F7"/>
    <w:rsid w:val="2CEE6B8D"/>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2015FCC"/>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609585B"/>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AF0AEF"/>
    <w:rsid w:val="3AC125B3"/>
    <w:rsid w:val="3AF216E5"/>
    <w:rsid w:val="3B0B15C3"/>
    <w:rsid w:val="3B0F491B"/>
    <w:rsid w:val="3B164016"/>
    <w:rsid w:val="3B30671A"/>
    <w:rsid w:val="3B5662AC"/>
    <w:rsid w:val="3B981241"/>
    <w:rsid w:val="3B9F08A7"/>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5E37291"/>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682125"/>
    <w:rsid w:val="4C723787"/>
    <w:rsid w:val="4C783FE1"/>
    <w:rsid w:val="4CF05EAC"/>
    <w:rsid w:val="4D102CB4"/>
    <w:rsid w:val="4D9E609E"/>
    <w:rsid w:val="4E0243C8"/>
    <w:rsid w:val="4E345636"/>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05665"/>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5D3BDD"/>
    <w:rsid w:val="55B42DC5"/>
    <w:rsid w:val="55C82763"/>
    <w:rsid w:val="561E43E8"/>
    <w:rsid w:val="56243301"/>
    <w:rsid w:val="56565F98"/>
    <w:rsid w:val="567B20DA"/>
    <w:rsid w:val="56943FE8"/>
    <w:rsid w:val="56DA5A5F"/>
    <w:rsid w:val="57045299"/>
    <w:rsid w:val="577E3F1D"/>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C46A6F"/>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F64A32"/>
    <w:rsid w:val="61051332"/>
    <w:rsid w:val="62812953"/>
    <w:rsid w:val="62821806"/>
    <w:rsid w:val="62B7743E"/>
    <w:rsid w:val="62B8352F"/>
    <w:rsid w:val="62CF13EC"/>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121910"/>
    <w:rsid w:val="6D3205F0"/>
    <w:rsid w:val="6D4C048E"/>
    <w:rsid w:val="6D862B60"/>
    <w:rsid w:val="6DB702B4"/>
    <w:rsid w:val="6E4462CC"/>
    <w:rsid w:val="6E504618"/>
    <w:rsid w:val="6EB20078"/>
    <w:rsid w:val="6EFB363D"/>
    <w:rsid w:val="6F1028C5"/>
    <w:rsid w:val="6F3608C4"/>
    <w:rsid w:val="6F5579D7"/>
    <w:rsid w:val="6F801AF8"/>
    <w:rsid w:val="6F8D5AAE"/>
    <w:rsid w:val="6FFF59CB"/>
    <w:rsid w:val="700D564E"/>
    <w:rsid w:val="70160759"/>
    <w:rsid w:val="70200B37"/>
    <w:rsid w:val="7037013D"/>
    <w:rsid w:val="703F296B"/>
    <w:rsid w:val="704E4A67"/>
    <w:rsid w:val="70995673"/>
    <w:rsid w:val="70AA0AC2"/>
    <w:rsid w:val="70AA24EA"/>
    <w:rsid w:val="70B97CE8"/>
    <w:rsid w:val="70D46C56"/>
    <w:rsid w:val="70EA7511"/>
    <w:rsid w:val="71143E21"/>
    <w:rsid w:val="71616F10"/>
    <w:rsid w:val="719955E9"/>
    <w:rsid w:val="71C93578"/>
    <w:rsid w:val="71DA7124"/>
    <w:rsid w:val="72847DC4"/>
    <w:rsid w:val="72867A39"/>
    <w:rsid w:val="72892276"/>
    <w:rsid w:val="72D71CC1"/>
    <w:rsid w:val="72EE3608"/>
    <w:rsid w:val="72F37E30"/>
    <w:rsid w:val="72FB5D9F"/>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58973BD"/>
    <w:rsid w:val="762B3711"/>
    <w:rsid w:val="76696B17"/>
    <w:rsid w:val="76696D01"/>
    <w:rsid w:val="76991F3B"/>
    <w:rsid w:val="76B94BAA"/>
    <w:rsid w:val="76BD4E1F"/>
    <w:rsid w:val="76D8737F"/>
    <w:rsid w:val="76E279D7"/>
    <w:rsid w:val="7718204C"/>
    <w:rsid w:val="772E0626"/>
    <w:rsid w:val="77303683"/>
    <w:rsid w:val="7752184A"/>
    <w:rsid w:val="7754709D"/>
    <w:rsid w:val="776E285A"/>
    <w:rsid w:val="77B02D8D"/>
    <w:rsid w:val="77B23404"/>
    <w:rsid w:val="77C0093D"/>
    <w:rsid w:val="77C90B9C"/>
    <w:rsid w:val="77EF22D8"/>
    <w:rsid w:val="780F30C4"/>
    <w:rsid w:val="78204380"/>
    <w:rsid w:val="78384CBC"/>
    <w:rsid w:val="784258BF"/>
    <w:rsid w:val="793758F2"/>
    <w:rsid w:val="79C0590F"/>
    <w:rsid w:val="7A080BBF"/>
    <w:rsid w:val="7A4F2396"/>
    <w:rsid w:val="7A787ECB"/>
    <w:rsid w:val="7A875FC6"/>
    <w:rsid w:val="7A8B51CB"/>
    <w:rsid w:val="7A984514"/>
    <w:rsid w:val="7AB507FA"/>
    <w:rsid w:val="7AC634CB"/>
    <w:rsid w:val="7ACB482C"/>
    <w:rsid w:val="7ACC13B3"/>
    <w:rsid w:val="7AF137EF"/>
    <w:rsid w:val="7B2531D6"/>
    <w:rsid w:val="7B5B11D8"/>
    <w:rsid w:val="7C41564D"/>
    <w:rsid w:val="7C8E16C9"/>
    <w:rsid w:val="7CA10AF6"/>
    <w:rsid w:val="7CB561C0"/>
    <w:rsid w:val="7CCC277F"/>
    <w:rsid w:val="7CE3033A"/>
    <w:rsid w:val="7D0A2590"/>
    <w:rsid w:val="7D550752"/>
    <w:rsid w:val="7D6A7A29"/>
    <w:rsid w:val="7DA0035E"/>
    <w:rsid w:val="7DC16877"/>
    <w:rsid w:val="7DCC5A45"/>
    <w:rsid w:val="7E4F3BDE"/>
    <w:rsid w:val="7E630B4F"/>
    <w:rsid w:val="7E7F1DC3"/>
    <w:rsid w:val="7E7F4EA4"/>
    <w:rsid w:val="7E8B6D0C"/>
    <w:rsid w:val="7F285EA4"/>
    <w:rsid w:val="7F787EDB"/>
    <w:rsid w:val="7F9952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7">
    <w:name w:val="annotation text"/>
    <w:basedOn w:val="1"/>
    <w:link w:val="58"/>
    <w:semiHidden/>
    <w:unhideWhenUsed/>
    <w:qFormat/>
    <w:uiPriority w:val="99"/>
    <w:pPr>
      <w:spacing w:line="240" w:lineRule="auto"/>
    </w:pPr>
    <w:rPr>
      <w:szCs w:val="20"/>
    </w:rPr>
  </w:style>
  <w:style w:type="paragraph" w:styleId="8">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2">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7">
    <w:name w:val="annotation subject"/>
    <w:basedOn w:val="7"/>
    <w:next w:val="7"/>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6"/>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6"/>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8"/>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2"/>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1"/>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7"/>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8"/>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A4E9F1-3478-4E48-ACB7-A0EA7CF8F594}">
  <ds:schemaRefs/>
</ds:datastoreItem>
</file>

<file path=customXml/itemProps3.xml><?xml version="1.0" encoding="utf-8"?>
<ds:datastoreItem xmlns:ds="http://schemas.openxmlformats.org/officeDocument/2006/customXml" ds:itemID="{DDD117E1-8C1C-466A-8D7F-EAF64C1488C0}">
  <ds:schemaRefs/>
</ds:datastoreItem>
</file>

<file path=customXml/itemProps4.xml><?xml version="1.0" encoding="utf-8"?>
<ds:datastoreItem xmlns:ds="http://schemas.openxmlformats.org/officeDocument/2006/customXml" ds:itemID="{E8E32C24-5F96-4713-A70F-A7BA20BB6CD6}">
  <ds:schemaRefs/>
</ds:datastoreItem>
</file>

<file path=customXml/itemProps5.xml><?xml version="1.0" encoding="utf-8"?>
<ds:datastoreItem xmlns:ds="http://schemas.openxmlformats.org/officeDocument/2006/customXml" ds:itemID="{E173285D-2887-45E3-A024-3D1E71CC8E74}">
  <ds:schemaRefs/>
</ds:datastoreItem>
</file>

<file path=customXml/itemProps6.xml><?xml version="1.0" encoding="utf-8"?>
<ds:datastoreItem xmlns:ds="http://schemas.openxmlformats.org/officeDocument/2006/customXml" ds:itemID="{9B5B53C8-48A5-44AD-B897-E90CB0B8E3EC}">
  <ds:schemaRefs/>
</ds:datastoreItem>
</file>

<file path=customXml/itemProps7.xml><?xml version="1.0" encoding="utf-8"?>
<ds:datastoreItem xmlns:ds="http://schemas.openxmlformats.org/officeDocument/2006/customXml" ds:itemID="{08DA32A5-C37F-4DB0-94C0-5301A1F35695}">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2022-01-10T13:28:26Z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